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05A2E202" w:rsidR="005D32B3" w:rsidRPr="001D5547" w:rsidRDefault="006C4B7A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D775A3">
        <w:rPr>
          <w:rFonts w:ascii="Arial" w:hAnsi="Arial" w:cs="Arial"/>
          <w:sz w:val="22"/>
          <w:szCs w:val="22"/>
          <w:lang w:val="en-GB"/>
        </w:rPr>
        <w:t>7</w:t>
      </w:r>
      <w:r w:rsidR="00D775A3" w:rsidRPr="00D775A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D775A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December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24F8135" w14:textId="6E4999BB" w:rsidR="006C4B7A" w:rsidRDefault="00D775A3" w:rsidP="00D775A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D775A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Notice regarding change in timing of acquisition of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D775A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Trelleborg Wheel Systems Holding A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B</w:t>
      </w:r>
    </w:p>
    <w:p w14:paraId="189B8915" w14:textId="77777777" w:rsidR="00D775A3" w:rsidRPr="00D775A3" w:rsidRDefault="00D775A3" w:rsidP="00D775A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2354A065" w14:textId="008E27B1" w:rsidR="00C320E0" w:rsidRPr="00C320E0" w:rsidRDefault="004637A4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556C02"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320E0" w:rsidRPr="00C320E0">
        <w:rPr>
          <w:rStyle w:val="markedcontent"/>
          <w:rFonts w:ascii="Arial" w:hAnsi="Arial" w:cs="Arial"/>
          <w:sz w:val="22"/>
          <w:szCs w:val="22"/>
          <w:lang w:val="en-GB"/>
        </w:rPr>
        <w:t>today announces that the acquisition of all outstanding shares of</w:t>
      </w:r>
      <w:r w:rsidR="00C320E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320E0" w:rsidRPr="00C320E0">
        <w:rPr>
          <w:rStyle w:val="markedcontent"/>
          <w:rFonts w:ascii="Arial" w:hAnsi="Arial" w:cs="Arial"/>
          <w:sz w:val="22"/>
          <w:szCs w:val="22"/>
          <w:lang w:val="en-GB"/>
        </w:rPr>
        <w:t xml:space="preserve">Trelleborg Wheel Systems Holding AB held by Trelleborg AB, which was announced on </w:t>
      </w:r>
      <w:r w:rsidR="00C320E0">
        <w:rPr>
          <w:rStyle w:val="markedcontent"/>
          <w:rFonts w:ascii="Arial" w:hAnsi="Arial" w:cs="Arial"/>
          <w:sz w:val="22"/>
          <w:szCs w:val="22"/>
          <w:lang w:val="en-GB"/>
        </w:rPr>
        <w:t>25</w:t>
      </w:r>
      <w:r w:rsidR="00C320E0" w:rsidRPr="00C320E0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C320E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320E0" w:rsidRPr="00C320E0">
        <w:rPr>
          <w:rStyle w:val="markedcontent"/>
          <w:rFonts w:ascii="Arial" w:hAnsi="Arial" w:cs="Arial"/>
          <w:sz w:val="22"/>
          <w:szCs w:val="22"/>
          <w:lang w:val="en-GB"/>
        </w:rPr>
        <w:t>March 2022,</w:t>
      </w:r>
      <w:r w:rsidR="00C320E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320E0" w:rsidRPr="00C320E0">
        <w:rPr>
          <w:rStyle w:val="markedcontent"/>
          <w:rFonts w:ascii="Arial" w:hAnsi="Arial" w:cs="Arial"/>
          <w:sz w:val="22"/>
          <w:szCs w:val="22"/>
          <w:lang w:val="en-GB"/>
        </w:rPr>
        <w:t>now is expected to be completed in the first half of 2023 rather than the originally planned</w:t>
      </w:r>
      <w:r w:rsidR="00C320E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C320E0" w:rsidRPr="00C320E0">
        <w:rPr>
          <w:rStyle w:val="markedcontent"/>
          <w:rFonts w:ascii="Arial" w:hAnsi="Arial" w:cs="Arial"/>
          <w:sz w:val="22"/>
          <w:szCs w:val="22"/>
          <w:lang w:val="en-GB"/>
        </w:rPr>
        <w:t>second half of 2022.</w:t>
      </w:r>
    </w:p>
    <w:p w14:paraId="43A4765C" w14:textId="77777777" w:rsidR="00C320E0" w:rsidRDefault="00C320E0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099FA24" w14:textId="6895532B" w:rsidR="00C320E0" w:rsidRPr="00C320E0" w:rsidRDefault="00C320E0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1. Reason for change in timing of the acquisition</w:t>
      </w:r>
    </w:p>
    <w:p w14:paraId="53F7678C" w14:textId="4C7A7A9D" w:rsidR="00C320E0" w:rsidRPr="00C320E0" w:rsidRDefault="00C320E0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The acquisition of shares is subject to the completion of reviews by the competition law</w:t>
      </w:r>
      <w:r w:rsidR="000F2B1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authorities of each country and region. Based on the current status and taking into account the</w:t>
      </w:r>
      <w:r w:rsidR="000F2B1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period required for future procedures, the expected timing of the acquisition completion has</w:t>
      </w:r>
      <w:r w:rsidR="000F2B1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been</w:t>
      </w:r>
      <w:r w:rsidR="000F2B1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changed as follows:</w:t>
      </w:r>
    </w:p>
    <w:p w14:paraId="5B73D1F6" w14:textId="77777777" w:rsidR="000F2B18" w:rsidRDefault="000F2B18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54C3701" w14:textId="11BEB008" w:rsidR="00C320E0" w:rsidRPr="00C320E0" w:rsidRDefault="00C320E0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2. Details of change in acquisition timing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0F2B18" w14:paraId="6BE137DB" w14:textId="77777777" w:rsidTr="0075206D">
        <w:tc>
          <w:tcPr>
            <w:tcW w:w="2689" w:type="dxa"/>
          </w:tcPr>
          <w:p w14:paraId="77D1596B" w14:textId="77777777" w:rsidR="000F2B18" w:rsidRDefault="000F2B18" w:rsidP="00C320E0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52" w:type="dxa"/>
          </w:tcPr>
          <w:p w14:paraId="356044AC" w14:textId="7B50D09F" w:rsidR="000F2B18" w:rsidRDefault="000F2B18" w:rsidP="00C320E0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320E0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Before change</w:t>
            </w:r>
          </w:p>
        </w:tc>
        <w:tc>
          <w:tcPr>
            <w:tcW w:w="3021" w:type="dxa"/>
          </w:tcPr>
          <w:p w14:paraId="49375C6A" w14:textId="151AF6E0" w:rsidR="000F2B18" w:rsidRDefault="000F2B18" w:rsidP="00C320E0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320E0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After change</w:t>
            </w:r>
          </w:p>
        </w:tc>
      </w:tr>
      <w:tr w:rsidR="000F2B18" w14:paraId="24569DA2" w14:textId="77777777" w:rsidTr="0075206D">
        <w:tc>
          <w:tcPr>
            <w:tcW w:w="2689" w:type="dxa"/>
          </w:tcPr>
          <w:p w14:paraId="3A28B53C" w14:textId="4D966677" w:rsidR="000F2B18" w:rsidRDefault="000F2B18" w:rsidP="00C320E0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320E0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Date of share transfer</w:t>
            </w:r>
          </w:p>
        </w:tc>
        <w:tc>
          <w:tcPr>
            <w:tcW w:w="3352" w:type="dxa"/>
          </w:tcPr>
          <w:p w14:paraId="46BD8F32" w14:textId="1181008B" w:rsidR="000F2B18" w:rsidRDefault="0075206D" w:rsidP="00C320E0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320E0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Second half of 2022 (planned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3021" w:type="dxa"/>
          </w:tcPr>
          <w:p w14:paraId="712B472E" w14:textId="285FBD82" w:rsidR="000F2B18" w:rsidRDefault="0075206D" w:rsidP="00C320E0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C320E0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First half of 2023 (planned)</w:t>
            </w:r>
          </w:p>
        </w:tc>
      </w:tr>
    </w:tbl>
    <w:p w14:paraId="251196B7" w14:textId="77777777" w:rsidR="0075206D" w:rsidRDefault="0075206D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862FA92" w14:textId="21CF342E" w:rsidR="00C320E0" w:rsidRPr="00C320E0" w:rsidRDefault="00C320E0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3. Future outlook</w:t>
      </w:r>
    </w:p>
    <w:p w14:paraId="60BEF40C" w14:textId="1C76089A" w:rsidR="005024CF" w:rsidRPr="0075206D" w:rsidRDefault="00C320E0" w:rsidP="00C320E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The change in the timing of the completion of this acquisition will have little impact on the</w:t>
      </w:r>
      <w:r w:rsidR="0075206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 xml:space="preserve">Company's fiscal 2022 consolidated financial results. </w:t>
      </w:r>
      <w:r w:rsidR="00A44D6A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promptly provide</w:t>
      </w:r>
      <w:r w:rsidR="0075206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notification of the exact date of the share transfer once decided and any other related events</w:t>
      </w:r>
      <w:r w:rsidR="0075206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that</w:t>
      </w:r>
      <w:r w:rsidR="0075206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C320E0">
        <w:rPr>
          <w:rStyle w:val="markedcontent"/>
          <w:rFonts w:ascii="Arial" w:hAnsi="Arial" w:cs="Arial"/>
          <w:sz w:val="22"/>
          <w:szCs w:val="22"/>
          <w:lang w:val="en-GB"/>
        </w:rPr>
        <w:t>may emerge.</w:t>
      </w:r>
    </w:p>
    <w:sectPr w:rsidR="005024CF" w:rsidRPr="0075206D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7FD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44DEA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96075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6</cp:revision>
  <cp:lastPrinted>2014-08-28T15:02:00Z</cp:lastPrinted>
  <dcterms:created xsi:type="dcterms:W3CDTF">2023-01-10T09:02:00Z</dcterms:created>
  <dcterms:modified xsi:type="dcterms:W3CDTF">2023-01-10T09:05:00Z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