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620DD394" w:rsidR="005D32B3" w:rsidRPr="001D5547" w:rsidRDefault="00A54A29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Pr="00A54A29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May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EB09AFD" w14:textId="77777777" w:rsidR="00F16E4C" w:rsidRDefault="00F16E4C" w:rsidP="00F16E4C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6004E5B5" w14:textId="02011433" w:rsidR="00DA5600" w:rsidRDefault="003379BC" w:rsidP="00DE312F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3379BC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Completes Acquisition of Trelleborg Wheel Systems Holding AB</w:t>
      </w:r>
    </w:p>
    <w:p w14:paraId="3EB93A07" w14:textId="77777777" w:rsidR="003379BC" w:rsidRPr="00DE312F" w:rsidRDefault="003379BC" w:rsidP="00DE312F">
      <w:pPr>
        <w:jc w:val="both"/>
        <w:rPr>
          <w:rStyle w:val="markedcontent"/>
          <w:rFonts w:ascii="Arial" w:hAnsi="Arial" w:cs="Arial"/>
          <w:sz w:val="22"/>
          <w:szCs w:val="22"/>
          <w:lang w:val="en-US"/>
        </w:rPr>
      </w:pPr>
    </w:p>
    <w:p w14:paraId="0E15C638" w14:textId="29C86FFA" w:rsidR="004101D3" w:rsidRDefault="002E08F0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announces that today, May 2, it has completed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the acquisition of all outstanding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shares of Trelleborg Wheel Systems Holding AB (hereinafter, TWS),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a Swedish company engaged in the manufacture and sale of off-highway t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res (hereinafter, OHT) for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agricultural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and industrial machinery, from Trelleborg AB, which was previously announced on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25</w:t>
      </w:r>
      <w:r w:rsidR="004101D3" w:rsidRPr="004101D3">
        <w:rPr>
          <w:rStyle w:val="markedcontent"/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March 2022. From the second quarter of fiscal 2023, 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’s consolidated accounts will</w:t>
      </w:r>
      <w:r w:rsid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include TWS, the estimated impact of which is currently under examination.</w:t>
      </w:r>
    </w:p>
    <w:p w14:paraId="72E135A4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E857E5C" w14:textId="42BE8D7D" w:rsid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The TWS acquisition is part of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’s strategic initiatives to expand its OHT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business,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which is positioned as a future growth driver for the company’s commercial t</w:t>
      </w:r>
      <w:r w:rsidR="006E36D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 business under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Yokohama Transformation 2023 (YX2023), the company’s medium-term management plan for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FY2021–FY2023. 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believes that, among commercial t</w:t>
      </w:r>
      <w:r w:rsidR="006E36D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res, OHT business is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capable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of securing stably high earnings.</w:t>
      </w:r>
    </w:p>
    <w:p w14:paraId="157F5AA4" w14:textId="77777777" w:rsidR="00366B63" w:rsidRPr="004101D3" w:rsidRDefault="00366B6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621B973" w14:textId="37F6E48A" w:rsid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The acquisition will bring consumer t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 to commercial t</w:t>
      </w:r>
      <w:r w:rsidR="006E36D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 sales composition of Y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 business in line with the global t</w:t>
      </w:r>
      <w:r w:rsidR="006E36D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 market ratio of 1:1, from the current 2:1 ratio weighted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toward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consumer t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res. In addition, this acquisition will lead to further growth of Y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OHT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business through synergies generated by the combined strengths of both companies in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all areas, from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the development of new products and services to manufacturing, sales, quality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control, and</w:t>
      </w:r>
      <w:r w:rsidR="00366B63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sustainability.</w:t>
      </w:r>
    </w:p>
    <w:p w14:paraId="3C08C6E4" w14:textId="77777777" w:rsidR="00366B63" w:rsidRPr="004101D3" w:rsidRDefault="00366B6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86DAE2A" w14:textId="16552EDF" w:rsidR="009F0252" w:rsidRPr="00437B16" w:rsidRDefault="004101D3" w:rsidP="004101D3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437B16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Comment from Masataka Yamaishi, Yokohama Rubber President, Chairman of the Board</w:t>
      </w:r>
      <w:r w:rsidR="009F0252" w:rsidRPr="00437B16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:</w:t>
      </w:r>
    </w:p>
    <w:p w14:paraId="776C47A9" w14:textId="5B391FC8" w:rsidR="004101D3" w:rsidRDefault="009F0252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“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The acquisition fits perfectly with our medium-term management plan, YX2023. TWS’s wide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range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products and brand portfolio, global sales and manufacturing footprint, service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scheme, leading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technology, and skilled people will enable us to consolidate our position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among the top t</w:t>
      </w:r>
      <w:r w:rsidR="006E36DF">
        <w:rPr>
          <w:rStyle w:val="markedcontent"/>
          <w:rFonts w:ascii="Arial" w:hAnsi="Arial" w:cs="Arial"/>
          <w:sz w:val="22"/>
          <w:szCs w:val="22"/>
          <w:lang w:val="en-GB"/>
        </w:rPr>
        <w:t>yr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e producers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in the world, moving up in the rankings of the world’s largest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re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producers. We warmly welcome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successful team from TWS into the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OKOHAMA Rubber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Group and are excited to work together in the</w:t>
      </w:r>
      <w:r w:rsidR="008860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future.</w:t>
      </w:r>
      <w:r w:rsidR="00886059">
        <w:rPr>
          <w:rStyle w:val="markedcontent"/>
          <w:rFonts w:ascii="Arial" w:hAnsi="Arial" w:cs="Arial"/>
          <w:sz w:val="22"/>
          <w:szCs w:val="22"/>
          <w:lang w:val="en-GB"/>
        </w:rPr>
        <w:t>”</w:t>
      </w:r>
    </w:p>
    <w:p w14:paraId="3C431570" w14:textId="77777777" w:rsidR="00886059" w:rsidRPr="004101D3" w:rsidRDefault="00886059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0060F2A" w14:textId="749A3F68" w:rsidR="004101D3" w:rsidRPr="00437B16" w:rsidRDefault="004101D3" w:rsidP="004101D3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437B16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Comment from Peter Nilsson, Trelleborg AB President and CEO</w:t>
      </w:r>
      <w:r w:rsidR="00886059" w:rsidRPr="00437B16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:</w:t>
      </w:r>
    </w:p>
    <w:p w14:paraId="1AD3A54B" w14:textId="7E9BA019" w:rsidR="004101D3" w:rsidRPr="004101D3" w:rsidRDefault="00886059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“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TWS has during the past few years more than doubled in size and substantially increased its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profitability. Today the business is in great shape. There is an ongoing consolidation in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OHT sector,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and TWS will be a valuable complement to 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’s existing offering in 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multiple of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dimensions. I would like to extend a big and heartfelt thank you to all employees in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>TWS and wish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them and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4101D3" w:rsidRPr="004101D3">
        <w:rPr>
          <w:rStyle w:val="markedcontent"/>
          <w:rFonts w:ascii="Arial" w:hAnsi="Arial" w:cs="Arial"/>
          <w:sz w:val="22"/>
          <w:szCs w:val="22"/>
          <w:lang w:val="en-GB"/>
        </w:rPr>
        <w:t xml:space="preserve"> every success in their new corporate constellation.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”</w:t>
      </w:r>
    </w:p>
    <w:p w14:paraId="4478F846" w14:textId="3359CDE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3E1AEC5" w14:textId="77777777" w:rsidR="006E36DF" w:rsidRDefault="006E36DF">
      <w:pP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21FFE8E6" w14:textId="77777777" w:rsidR="006E36DF" w:rsidRDefault="006E36DF" w:rsidP="004101D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383FD81B" w14:textId="77777777" w:rsidR="006E36DF" w:rsidRDefault="006E36DF" w:rsidP="004101D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6FD980F3" w14:textId="719690D9" w:rsidR="004101D3" w:rsidRPr="00886059" w:rsidRDefault="004101D3" w:rsidP="004101D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886059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Overview of Trelleborg Wheel Systems Holding AB</w:t>
      </w:r>
    </w:p>
    <w:p w14:paraId="0634DD39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Head office: Trelleborg, Sweden</w:t>
      </w:r>
    </w:p>
    <w:p w14:paraId="35177966" w14:textId="68386B75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Main business: Manufacture &amp; sale of t</w:t>
      </w:r>
      <w:r w:rsidR="006E36D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res for agricultural and industrial machinery</w:t>
      </w:r>
    </w:p>
    <w:p w14:paraId="6098FF8A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Net sales: 13,277 million Swedish krona (approx. ¥172.5 billion) in FY2022</w:t>
      </w:r>
    </w:p>
    <w:p w14:paraId="689047E4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Enterprise value: 2,074 million Euro</w:t>
      </w:r>
    </w:p>
    <w:p w14:paraId="11B2C92D" w14:textId="1CB31AE5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Production sites: 14 (1 each in Italy, Latvia, Serbia, Slovenia, 3 in the Czech Republic, 2 in Sri Lanka,</w:t>
      </w:r>
      <w:r w:rsidR="00886059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2 in China, 2 in the U.S., and 1 in Brazil)</w:t>
      </w:r>
    </w:p>
    <w:p w14:paraId="12DC88BD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Sales offices: 40</w:t>
      </w:r>
    </w:p>
    <w:p w14:paraId="3176666B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Key product brand: TRELLEBORG, Mitas</w:t>
      </w:r>
    </w:p>
    <w:p w14:paraId="2643F3B6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Employees: 6,621 (as of end-December 2022)</w:t>
      </w:r>
    </w:p>
    <w:p w14:paraId="1F8A4573" w14:textId="77777777" w:rsidR="00886059" w:rsidRDefault="00886059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7E9429E" w14:textId="1E1B7CAA" w:rsidR="004101D3" w:rsidRPr="00886059" w:rsidRDefault="004101D3" w:rsidP="004101D3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886059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Overview of Trelleborg AB</w:t>
      </w:r>
    </w:p>
    <w:p w14:paraId="6AAD7566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Established: 1905</w:t>
      </w:r>
    </w:p>
    <w:p w14:paraId="1B7DA745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Head Office: Trelleborg, Sweden</w:t>
      </w:r>
    </w:p>
    <w:p w14:paraId="3E86B40B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Share Capital: 2,620 million Swedish krona (approx. ¥34.0 billion)</w:t>
      </w:r>
    </w:p>
    <w:p w14:paraId="50B5E9C1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Main business: Manufacture &amp; sale of polymer-based rubber products for industry</w:t>
      </w:r>
    </w:p>
    <w:p w14:paraId="6DD57032" w14:textId="77777777" w:rsidR="004101D3" w:rsidRPr="004101D3" w:rsidRDefault="004101D3" w:rsidP="004101D3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Net sales: 30,095 million Swedish krona (approx. ¥390.9 billion) in FY2022</w:t>
      </w:r>
    </w:p>
    <w:p w14:paraId="05003B2A" w14:textId="11AFEC50" w:rsidR="0052659D" w:rsidRPr="0052659D" w:rsidRDefault="004101D3" w:rsidP="004101D3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4101D3">
        <w:rPr>
          <w:rStyle w:val="markedcontent"/>
          <w:rFonts w:ascii="Arial" w:hAnsi="Arial" w:cs="Arial"/>
          <w:sz w:val="22"/>
          <w:szCs w:val="22"/>
          <w:lang w:val="en-GB"/>
        </w:rPr>
        <w:t>Employees: 16,701 (as of end-December 2022</w:t>
      </w:r>
      <w:r w:rsidR="00E54A1E">
        <w:rPr>
          <w:rStyle w:val="markedcontent"/>
          <w:rFonts w:ascii="Arial" w:hAnsi="Arial" w:cs="Arial"/>
          <w:sz w:val="22"/>
          <w:szCs w:val="22"/>
          <w:lang w:val="en-GB"/>
        </w:rPr>
        <w:t>)</w:t>
      </w:r>
    </w:p>
    <w:sectPr w:rsidR="0052659D" w:rsidRPr="0052659D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4CF5" w14:textId="77777777" w:rsidR="00D13613" w:rsidRDefault="00D13613" w:rsidP="00B25742">
      <w:r>
        <w:separator/>
      </w:r>
    </w:p>
  </w:endnote>
  <w:endnote w:type="continuationSeparator" w:id="0">
    <w:p w14:paraId="02654823" w14:textId="77777777" w:rsidR="00D13613" w:rsidRDefault="00D136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90D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F2E3" w14:textId="77777777" w:rsidR="00D13613" w:rsidRDefault="00D13613" w:rsidP="00B25742">
      <w:r>
        <w:separator/>
      </w:r>
    </w:p>
  </w:footnote>
  <w:footnote w:type="continuationSeparator" w:id="0">
    <w:p w14:paraId="3C7DEDD5" w14:textId="77777777" w:rsidR="00D13613" w:rsidRDefault="00D136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6DB73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6EDF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1F67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70D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3076"/>
    <w:rsid w:val="009E4272"/>
    <w:rsid w:val="009E680F"/>
    <w:rsid w:val="009E7269"/>
    <w:rsid w:val="009E7299"/>
    <w:rsid w:val="009F0252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2023-05-02T08:12:00Z</dcterms:created>
  <dcterms:modified xsi:type="dcterms:W3CDTF">2023-05-02T08:23:00Z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